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14="http://schemas.microsoft.com/office/word/2010/wordprocessingDrawing" mc:Ignorable="wp14">
  <w:body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МИНИСТЕРСТВО НАУКИ И ВЫСШЕГО ОБРАЗОВАНИЯ РОССИЙСКОЙ ФЕДЕРАЦИИ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Федеральное государственное бюджетное образовательное учреждение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высшего образования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«______________________»</w:t>
      </w: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Факультет ______________________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Кафедра ______________________</w:t>
      </w: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ВЫПУСКНАЯ КВАЛИФИКАЦИОННАЯ РАБОТА</w:t>
      </w: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тему: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«Тема выпускной квалификационной работы»</w:t>
      </w: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Выполнил(а):</w:t>
      </w: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обучающийся(аяся) группы ______</w:t>
      </w: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Фамилия Имя Отчество</w:t>
      </w: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Руководитель:</w:t>
      </w: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учёная степень, звание</w:t>
      </w: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Фамилия Имя Отчество</w:t>
      </w: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Допущена к защите</w:t>
      </w: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____________</w:t>
      </w:r>
    </w:p>
    <w:p>
      <w:pPr>
        <w:spacing w:before="0" w:after="0" w:line="240" w:lineRule="auto"/>
        <w:ind w:firstLine="0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«____» ______________ 20___ г.</w:t>
      </w: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left"/>
      </w:pP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Город — 20___</w:t>
      </w:r>
    </w:p>
    <w:p>
      <w:pPr>
        <w:spacing w:before="0" w:after="0"/>
        <w:ind w:firstLine="0" w:left="0" w:right="0"/>
      </w:pPr>
      <w:r>
        <w:br w:type="page"/>
      </w:r>
    </w:p>
    <w:p>
      <w:pPr>
        <w:keepNext/>
        <w:pageBreakBefore/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СОДЕРЖАНИЕ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 w:left="0" w:right="0"/>
        <w:jc w:val="left"/>
      </w:pPr>
      <w:r>
        <w:fldChar w:fldCharType="begin" w:dirty="true"/>
      </w:r>
      <w:r>
        <w:instrText xml:space="preserve"> TOC \o "1-2" \h \z \u </w:instrText>
      </w:r>
      <w:r>
        <w:fldChar w:fldCharType="separate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Обновите поле: правой кнопкой по содержанию → «Обновить поле» → «Обновить целиком».</w:t>
      </w:r>
      <w:r>
        <w:fldChar w:fldCharType="end"/>
      </w:r>
    </w:p>
    <w:p>
      <w:pPr>
        <w:pStyle w:val="Heading1"/>
        <w:keepNext/>
        <w:pageBreakBefore/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ВВЕДЕНИЕ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исследования. Здесь в двух-трёх абзацах объясняется, почему тему стоит изучать именно сейчас: какое противоречие есть в практике, какая задача не решена, какие данные устарели. Ссылка на источник ставится в квадратных скобках сразу после утверждения, которое она подтверждает [1]. Если работ несколько, номера разделяются точкой с запятой [2; 3]: запятая внутри скобок занята под указание страницы. Ссылка на конкретную страницу выглядит так [4, с. 47].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Степень разработанности темы. Перечисляются авторы, которые занимались вопросом, и указывается, что именно осталось за рамками их работ. Это не пересказ, а карта: кто что уже сделал и где пустое место, которое закрывает ваша работа [5; 6].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Объект исследования — процесс или явление, которое изучается (например, процесс подготовки спортсменов на этапе начальной специализации).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Предмет исследования — та сторона объекта, которую изучаете именно вы (например, влияние круговой тренировки на развитие скоростно-силовых качеств).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Цель исследования — один результат, который вы намерены получить. Формулируется отглагольным существительным: «выявление», «обоснование», «разработка». Цель всегда одна.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исследования: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изучить состояние вопроса по данным научно-методической литературы;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разработать и обосновать методику по теме работы;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экспериментально проверить эффективность разработанной методики.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Гипотеза исследования. Предполагалось, что применение разработанной методики позволит достоверно повысить показатели в экспериментальной группе по сравнению с контрольной.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Методы исследования: анализ научно-методической литературы; педагогическое наблюдение; педагогический эксперимент; тестирование; методы математической статистики.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исследования. Исследование проводилось на базе ______________ в период с ______ по ______. В нём приняли участие ____ человек.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значимость работы состоит в том, что полученные результаты могут быть использованы в практике работы тренеров, преподавателей и специалистов по теме исследования.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и объём работы. Работа состоит из введения, трёх глав, заключения, списка использованных источников и приложений. Текст изложен на ___ страницах, содержит ___ таблиц и ___ рисунков. Список использованных источников включает ___ наименований.</w:t>
      </w:r>
    </w:p>
    <w:p>
      <w:pPr>
        <w:pStyle w:val="Heading1"/>
        <w:keepNext/>
        <w:pageBreakBefore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Теоретические основы исследуемой проблемы</w:t>
      </w:r>
    </w:p>
    <w:p>
      <w:pPr>
        <w:keepNext/>
        <w:spacing w:before="0" w:after="0" w:line="360" w:lineRule="auto"/>
        <w:ind w:firstLine="0"/>
        <w:jc w:val="left"/>
      </w:pPr>
    </w:p>
    <w:p>
      <w:pPr>
        <w:pStyle w:val="Heading2"/>
        <w:keepNext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1.1 Первый вопрос теоретической главы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Абзац основного текста набирается кеглем 14, полуторным интервалом, с красной строкой 1,25 см и выравнивается по ширине. Переносы слов в работе не расставляются. Все эти свойства уже заданы в этом файле — достаточно писать поверх текста-рыбы, и оформление сохранится.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Каждое заимствованное положение сопровождается ссылкой на источник [7]. Прямая цитата берётся в кавычки и сопровождается ссылкой с указанием страницы: «текст цитаты приводится дословно и без изменений» [8, с. 112]. Пересказ чужой мысли своими словами тоже требует ссылки — иначе это заимствование без указания источника, и антиплагиат его найдёт.</w:t>
      </w:r>
    </w:p>
    <w:p>
      <w:pPr>
        <w:spacing w:before="0" w:after="0" w:line="360" w:lineRule="auto"/>
        <w:ind w:firstLine="0"/>
        <w:jc w:val="left"/>
      </w:pPr>
    </w:p>
    <w:p>
      <w:pPr>
        <w:pStyle w:val="Heading2"/>
        <w:keepNext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1.2 Второй вопрос теоретической главы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Перечисление внутри текста оформляется так. Перед перечислением ставится двоеточие, каждый элемент начинается со строчной буквы и заканчивается точкой с запятой, последний — точкой:</w:t>
      </w:r>
    </w:p>
    <w:p>
      <w:pPr>
        <w:numPr>
          <w:ilvl w:val="0"/>
          <w:numId w:val="2"/>
        </w:num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первый элемент перечисления;</w:t>
      </w:r>
    </w:p>
    <w:p>
      <w:pPr>
        <w:numPr>
          <w:ilvl w:val="0"/>
          <w:numId w:val="2"/>
        </w:num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второй элемент перечисления;</w:t>
      </w:r>
    </w:p>
    <w:p>
      <w:pPr>
        <w:numPr>
          <w:ilvl w:val="0"/>
          <w:numId w:val="2"/>
        </w:num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третий элемент перечисления.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элементы перечисления нужно на что-то ссылать в дальнейшем тексте, они нумеруются арабскими цифрами со скобкой.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Ниже приведён пример таблицы. Ссылка на таблицу обязательна и даётся в тексте до самой таблицы: сравнительная характеристика подходов представлена в таблице 1.</w:t>
      </w:r>
    </w:p>
    <w:p>
      <w:pPr>
        <w:spacing w:before="0" w:after="0" w:line="360" w:lineRule="auto"/>
        <w:ind w:firstLine="0"/>
        <w:jc w:val="left"/>
      </w:pPr>
    </w:p>
    <w:p>
      <w:pPr>
        <w:keepNext/>
        <w:spacing w:before="0" w:after="0" w:line="360" w:lineRule="auto"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1 — Сравнительная характеристика подходов к решению задачи</w:t>
      </w:r>
    </w:p>
    <w:tbl>
      <w:tblPr>
        <w:tblW w:w="9355" w:type="dxa"/>
        <w:tblLayout w:type="fixed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1809"/>
        <w:gridCol w:w="3392"/>
        <w:gridCol w:w="2815"/>
        <w:gridCol w:w="1339"/>
      </w:tblGrid>
      <w:tr>
        <w:trPr>
          <w:cantSplit/>
          <w:tblHeader/>
        </w:trPr>
        <w:tc>
          <w:tcPr>
            <w:tcW w:w="1809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Подход</w:t>
            </w:r>
          </w:p>
        </w:tc>
        <w:tc>
          <w:tcPr>
            <w:tcW w:w="3392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Основная идея</w:t>
            </w:r>
          </w:p>
        </w:tc>
        <w:tc>
          <w:tcPr>
            <w:tcW w:w="2815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Ограничение</w:t>
            </w:r>
          </w:p>
        </w:tc>
        <w:tc>
          <w:tcPr>
            <w:tcW w:w="1339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Источник</w:t>
            </w:r>
          </w:p>
        </w:tc>
      </w:tr>
      <w:tr>
        <w:tc>
          <w:tcPr>
            <w:tcW w:w="180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Традиционный</w:t>
            </w:r>
          </w:p>
        </w:tc>
        <w:tc>
          <w:tcPr>
            <w:tcW w:w="339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Последовательное освоение элементов техники от простого к сложному</w:t>
            </w:r>
          </w:p>
        </w:tc>
        <w:tc>
          <w:tcPr>
            <w:tcW w:w="281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Требует большого объёма времени</w:t>
            </w:r>
          </w:p>
        </w:tc>
        <w:tc>
          <w:tcPr>
            <w:tcW w:w="133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[2]</w:t>
            </w:r>
          </w:p>
        </w:tc>
      </w:tr>
      <w:tr>
        <w:tc>
          <w:tcPr>
            <w:tcW w:w="180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Круговой</w:t>
            </w:r>
          </w:p>
        </w:tc>
        <w:tc>
          <w:tcPr>
            <w:tcW w:w="339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станций по кругу с регламентированным отдыхом</w:t>
            </w:r>
          </w:p>
        </w:tc>
        <w:tc>
          <w:tcPr>
            <w:tcW w:w="281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Сложно дозировать нагрузку новичкам</w:t>
            </w:r>
          </w:p>
        </w:tc>
        <w:tc>
          <w:tcPr>
            <w:tcW w:w="133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[7]</w:t>
            </w:r>
          </w:p>
        </w:tc>
      </w:tr>
      <w:tr>
        <w:tc>
          <w:tcPr>
            <w:tcW w:w="180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Сопряжённый</w:t>
            </w:r>
          </w:p>
        </w:tc>
        <w:tc>
          <w:tcPr>
            <w:tcW w:w="339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качества одновременно с совершенствованием техники</w:t>
            </w:r>
          </w:p>
        </w:tc>
        <w:tc>
          <w:tcPr>
            <w:tcW w:w="281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Нужен высокий исходный уровень подготовки</w:t>
            </w:r>
          </w:p>
        </w:tc>
        <w:tc>
          <w:tcPr>
            <w:tcW w:w="133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[10]</w:t>
            </w:r>
          </w:p>
        </w:tc>
      </w:tr>
    </w:tbl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После таблицы текст продолжается с новой строки. Если таблица не помещается на странице, она переносится, а над продолжением пишется «Продолжение таблицы 1»; шапка при этом повторяется — в этом файле повтор шапки уже включён.</w:t>
      </w:r>
    </w:p>
    <w:p>
      <w:pPr>
        <w:spacing w:before="0" w:after="0" w:line="360" w:lineRule="auto"/>
        <w:ind w:firstLine="0"/>
        <w:jc w:val="left"/>
      </w:pPr>
    </w:p>
    <w:p>
      <w:pPr>
        <w:pStyle w:val="Heading2"/>
        <w:keepNext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1.3 Выводы по первой главе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Выводы по главе — это 3-5 коротких абзацев, каждый из которых отвечает на один вопрос, разобранный в главе. Новых фактов и новых ссылок здесь не появляется.</w:t>
      </w:r>
    </w:p>
    <w:p>
      <w:pPr>
        <w:pStyle w:val="Heading1"/>
        <w:keepNext/>
        <w:pageBreakBefore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 Методы и организация исследования</w:t>
      </w:r>
    </w:p>
    <w:p>
      <w:pPr>
        <w:keepNext/>
        <w:spacing w:before="0" w:after="0" w:line="360" w:lineRule="auto"/>
        <w:ind w:firstLine="0"/>
        <w:jc w:val="left"/>
      </w:pPr>
    </w:p>
    <w:p>
      <w:pPr>
        <w:pStyle w:val="Heading2"/>
        <w:keepNext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 Методы исследования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Здесь перечисляются методы и описывается, как именно каждый применялся: что измеряли, каким инструментом, сколько попыток давали, как фиксировали результат. Описание должно быть таким, чтобы другой человек мог повторить измерение и получить сопоставимые данные.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Достоверность различий определялась по t-критерию Стьюдента в формуле (1):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tabs>
          <w:tab w:val="center" w:pos="4677"/>
          <w:tab w:val="right" w:pos="9354"/>
        </w:tabs>
      </w:pPr>
      <w:r>
        <w:rPr>
          <w:rFonts w:ascii="Times New Roman" w:hAnsi="Times New Roman"/>
          <w:sz w:val="28"/>
        </w:rPr>
        <w:tab/>
        <w:t xml:space="preserve">t = (M₁ − M₂) / √(m₁² + m₂²)</w:t>
        <w:tab/>
        <w:t xml:space="preserve">(1)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где M₁, M₂ — средние арифметические значения сравниваемых групп;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m₁, m₂ — ошибки средних арифметических.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Обратите внимание: после слова «где» двоеточие не ставится — этого прямо требует пункт 6.8.2 стандарта.</w:t>
      </w:r>
    </w:p>
    <w:p>
      <w:pPr>
        <w:spacing w:before="0" w:after="0" w:line="360" w:lineRule="auto"/>
        <w:ind w:firstLine="0"/>
        <w:jc w:val="left"/>
      </w:pPr>
    </w:p>
    <w:p>
      <w:pPr>
        <w:pStyle w:val="Heading2"/>
        <w:keepNext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2.2 Организация исследования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Описывается база исследования, сроки, этапы и состав участников. Характеристика выборки приводится в таблице 2.</w:t>
      </w:r>
    </w:p>
    <w:p>
      <w:pPr>
        <w:spacing w:before="0" w:after="0" w:line="360" w:lineRule="auto"/>
        <w:ind w:firstLine="0"/>
        <w:jc w:val="left"/>
      </w:pPr>
    </w:p>
    <w:p>
      <w:pPr>
        <w:keepNext/>
        <w:spacing w:before="0" w:after="0" w:line="360" w:lineRule="auto"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2 — Характеристика участников исследования</w:t>
      </w:r>
    </w:p>
    <w:tbl>
      <w:tblPr>
        <w:tblW w:w="9355" w:type="dxa"/>
        <w:tblLayout w:type="fixed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3922"/>
        <w:gridCol w:w="1698"/>
        <w:gridCol w:w="2061"/>
        <w:gridCol w:w="1674"/>
      </w:tblGrid>
      <w:tr>
        <w:trPr>
          <w:cantSplit/>
          <w:tblHeader/>
        </w:trPr>
        <w:tc>
          <w:tcPr>
            <w:tcW w:w="3922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Группа</w:t>
            </w:r>
          </w:p>
        </w:tc>
        <w:tc>
          <w:tcPr>
            <w:tcW w:w="1698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Количество, чел.</w:t>
            </w:r>
          </w:p>
        </w:tc>
        <w:tc>
          <w:tcPr>
            <w:tcW w:w="2061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Возраст, лет</w:t>
            </w:r>
          </w:p>
        </w:tc>
        <w:tc>
          <w:tcPr>
            <w:tcW w:w="1674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Стаж занятий, лет</w:t>
            </w:r>
          </w:p>
        </w:tc>
      </w:tr>
      <w:tr>
        <w:tc>
          <w:tcPr>
            <w:tcW w:w="392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</w:t>
            </w:r>
          </w:p>
        </w:tc>
        <w:tc>
          <w:tcPr>
            <w:tcW w:w="169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</w:p>
        </w:tc>
        <w:tc>
          <w:tcPr>
            <w:tcW w:w="2061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19,4 ± 0,8</w:t>
            </w:r>
          </w:p>
        </w:tc>
        <w:tc>
          <w:tcPr>
            <w:tcW w:w="16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 ± 0,6</w:t>
            </w:r>
          </w:p>
        </w:tc>
      </w:tr>
      <w:tr>
        <w:tc>
          <w:tcPr>
            <w:tcW w:w="392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Экспериментальная</w:t>
            </w:r>
          </w:p>
        </w:tc>
        <w:tc>
          <w:tcPr>
            <w:tcW w:w="169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</w:p>
        </w:tc>
        <w:tc>
          <w:tcPr>
            <w:tcW w:w="2061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19,1 ± 0,7</w:t>
            </w:r>
          </w:p>
        </w:tc>
        <w:tc>
          <w:tcPr>
            <w:tcW w:w="16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 ± 0,5</w:t>
            </w:r>
          </w:p>
        </w:tc>
      </w:tr>
    </w:tbl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Группы однородны по возрасту и стажу занятий: различия статистически недостоверны (p &gt; 0,05).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Схема организации исследования представлена на рисунке 1. Ссылка на рисунок, как и на таблицу, обязательна и даётся до самого рисунка.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Протокол результатов тестирования приведён в приложении А, бланк использованной методики — в приложении Б. На каждое приложение в тексте обязательно должна быть ссылка, и располагаются приложения в том порядке, в каком на них ссылаются.</w:t>
      </w:r>
    </w:p>
    <w:p>
      <w:pPr>
        <w:spacing w:before="0" w:after="0" w:line="360" w:lineRule="auto"/>
        <w:ind w:firstLine="0"/>
        <w:jc w:val="left"/>
      </w:pPr>
    </w:p>
    <w:p>
      <w:pPr>
        <w:keepNext/>
        <w:keepLines/>
        <w:spacing w:before="0" w:after="0" w:line="240" w:lineRule="auto"/>
        <w:ind w:firstLine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334000" cy="2095500"/>
            <wp:effectExtent l="0" t="0" r="0" b="0"/>
            <wp:docPr id="1008" name="Схема 1008"/>
            <wp:cNvGraphicFramePr/>
            <a:graphic xmlns:a="http://schemas.openxmlformats.org/drawingml/2006/main">
              <a:graphicData uri="http://schemas.microsoft.com/office/word/2010/wordprocessingGroup">
                <wpg:wgp xmlns:wpg="http://schemas.microsoft.com/office/word/2010/wordprocessingGroup" xmlns:wps="http://schemas.microsoft.com/office/word/2010/wordprocessingShape">
                  <wpg:cNvGrpSpPr/>
                  <wpg:grpSpPr>
                    <a:xfrm>
                      <a:off x="0" y="0"/>
                      <a:ext cx="5334000" cy="2095500"/>
                      <a:chOff x="0" y="0"/>
                      <a:chExt cx="5334000" cy="2095500"/>
                    </a:xfrm>
                  </wpg:grpSpPr>
                  <wps:wsp>
                    <wps:cNvPr id="1001" name="Связь 1001"/>
                    <wps:cNvCnPr/>
                    <wps:spPr>
                      <a:xfrm>
                        <a:off x="1524000" y="476250"/>
                        <a:ext cx="381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prstDash val="solid"/>
                        <a:tailEnd type="triangle" w="med" len="med"/>
                      </a:ln>
                    </wps:spPr>
                    <wps:bodyPr/>
                  </wps:wsp>
                  <wps:wsp>
                    <wps:cNvPr id="1002" name="Связь 1002"/>
                    <wps:cNvCnPr/>
                    <wps:spPr>
                      <a:xfrm>
                        <a:off x="2619375" y="762000"/>
                        <a:ext cx="0" cy="47625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prstDash val="solid"/>
                        <a:tailEnd type="triangle" w="med" len="med"/>
                      </a:ln>
                    </wps:spPr>
                    <wps:bodyPr/>
                  </wps:wsp>
                  <wps:wsp>
                    <wps:cNvPr id="1003" name="Связь 1003"/>
                    <wps:cNvCnPr/>
                    <wps:spPr>
                      <a:xfrm>
                        <a:off x="3333750" y="1524000"/>
                        <a:ext cx="381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prstDash val="solid"/>
                        <a:tailEnd type="triangle" w="med" len="med"/>
                      </a:ln>
                    </wps:spPr>
                    <wps:bodyPr/>
                  </wps:wsp>
                  <wps:wsp>
                    <wps:cNvPr id="1004" name="Блок 1004"/>
                    <wps:cNvSpPr/>
                    <wps:spPr>
                      <a:xfrm>
                        <a:off x="95250" y="190500"/>
                        <a:ext cx="1428750" cy="571500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ind w:firstLine="0" w:left="0" w:right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color w:val="000000"/>
                            </w:rPr>
                            <w:t xml:space="preserve">Анализ литературы</w:t>
                          </w:r>
                        </w:p>
                      </w:txbxContent>
                    </wps:txbx>
                    <wps:bodyPr rot="0" vert="horz" wrap="square" lIns="45720" tIns="18000" rIns="45720" bIns="18000" anchor="ctr" anchorCtr="0">
                      <a:noAutofit/>
                    </wps:bodyPr>
                  </wps:wsp>
                  <wps:wsp>
                    <wps:cNvPr id="1005" name="Блок 1005"/>
                    <wps:cNvSpPr/>
                    <wps:spPr>
                      <a:xfrm>
                        <a:off x="1905000" y="190500"/>
                        <a:ext cx="1428750" cy="571500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ind w:firstLine="0" w:left="0" w:right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color w:val="000000"/>
                            </w:rPr>
                            <w:t xml:space="preserve">Констатирующий
эксперимент</w:t>
                          </w:r>
                        </w:p>
                      </w:txbxContent>
                    </wps:txbx>
                    <wps:bodyPr rot="0" vert="horz" wrap="square" lIns="45720" tIns="18000" rIns="45720" bIns="18000" anchor="ctr" anchorCtr="0">
                      <a:noAutofit/>
                    </wps:bodyPr>
                  </wps:wsp>
                  <wps:wsp>
                    <wps:cNvPr id="1006" name="Блок 1006"/>
                    <wps:cNvSpPr/>
                    <wps:spPr>
                      <a:xfrm>
                        <a:off x="1905000" y="1238250"/>
                        <a:ext cx="1428750" cy="571500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ind w:firstLine="0" w:left="0" w:right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color w:val="000000"/>
                            </w:rPr>
                            <w:t xml:space="preserve">Формирующий
эксперимент</w:t>
                          </w:r>
                        </w:p>
                      </w:txbxContent>
                    </wps:txbx>
                    <wps:bodyPr rot="0" vert="horz" wrap="square" lIns="45720" tIns="18000" rIns="45720" bIns="18000" anchor="ctr" anchorCtr="0">
                      <a:noAutofit/>
                    </wps:bodyPr>
                  </wps:wsp>
                  <wps:wsp>
                    <wps:cNvPr id="1007" name="Блок 1007"/>
                    <wps:cNvSpPr/>
                    <wps:spPr>
                      <a:xfrm>
                        <a:off x="3714750" y="1238250"/>
                        <a:ext cx="1428750" cy="571500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ind w:firstLine="0" w:left="0" w:right="0"/>
                            <w:jc w:val="center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color w:val="000000"/>
                            </w:rPr>
                            <w:t xml:space="preserve">Обработка
результатов</w:t>
                          </w:r>
                        </w:p>
                      </w:txbxContent>
                    </wps:txbx>
                    <wps:bodyPr rot="0" vert="horz" wrap="square" lIns="45720" tIns="18000" rIns="45720" bIns="18000" anchor="ctr" anchorCtr="0">
                      <a:noAutofit/>
                    </wps:bodyPr>
                  </wps:wsp>
                </wpg:wgp>
              </a:graphicData>
            </a:graphic>
          </wp:inline>
        </w:drawing>
      </w:r>
    </w:p>
    <w:p>
      <w:pPr>
        <w:keepLines/>
        <w:spacing w:before="0" w:after="0" w:line="360" w:lineRule="auto"/>
        <w:ind w:firstLine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— Схема организации исследования</w:t>
      </w:r>
    </w:p>
    <w:p>
      <w:pPr>
        <w:spacing w:before="0" w:after="0" w:line="360" w:lineRule="auto"/>
        <w:ind w:firstLine="0"/>
        <w:jc w:val="left"/>
      </w:pPr>
    </w:p>
    <w:p>
      <w:pPr>
        <w:pStyle w:val="Heading1"/>
        <w:keepNext/>
        <w:pageBreakBefore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Результаты исследования и их обсуждение</w:t>
      </w:r>
    </w:p>
    <w:p>
      <w:pPr>
        <w:keepNext/>
        <w:spacing w:before="0" w:after="0" w:line="360" w:lineRule="auto"/>
        <w:ind w:firstLine="0"/>
        <w:jc w:val="left"/>
      </w:pPr>
    </w:p>
    <w:p>
      <w:pPr>
        <w:pStyle w:val="Heading2"/>
        <w:keepNext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3.1 Результаты исследования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этом параграфе приводятся полученные данные — без объяснений и без оценок. Сначала цифры, потом их обсуждение. Итоговые показатели представлены в таблице 3.</w:t>
      </w:r>
    </w:p>
    <w:p>
      <w:pPr>
        <w:spacing w:before="0" w:after="0" w:line="360" w:lineRule="auto"/>
        <w:ind w:firstLine="0"/>
        <w:jc w:val="left"/>
      </w:pPr>
    </w:p>
    <w:p>
      <w:pPr>
        <w:keepNext/>
        <w:spacing w:before="0" w:after="0" w:line="360" w:lineRule="auto"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3 — Показатели физической подготовленности до и после эксперимента</w:t>
      </w:r>
    </w:p>
    <w:tbl>
      <w:tblPr>
        <w:tblW w:w="9355" w:type="dxa"/>
        <w:tblLayout w:type="fixed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3920"/>
        <w:gridCol w:w="1049"/>
        <w:gridCol w:w="772"/>
        <w:gridCol w:w="918"/>
        <w:gridCol w:w="1196"/>
        <w:gridCol w:w="648"/>
        <w:gridCol w:w="852"/>
      </w:tblGrid>
      <w:tr>
        <w:trPr>
          <w:cantSplit/>
          <w:tblHeader/>
        </w:trPr>
        <w:tc>
          <w:tcPr>
            <w:tcW w:w="3920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Тест</w:t>
            </w:r>
          </w:p>
        </w:tc>
        <w:tc>
          <w:tcPr>
            <w:tcW w:w="1049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Группа</w:t>
            </w:r>
          </w:p>
        </w:tc>
        <w:tc>
          <w:tcPr>
            <w:tcW w:w="772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</w:t>
            </w:r>
          </w:p>
        </w:tc>
        <w:tc>
          <w:tcPr>
            <w:tcW w:w="918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После</w:t>
            </w:r>
          </w:p>
        </w:tc>
        <w:tc>
          <w:tcPr>
            <w:tcW w:w="1196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Прирост</w:t>
            </w:r>
          </w:p>
        </w:tc>
        <w:tc>
          <w:tcPr>
            <w:tcW w:w="648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t</w:t>
            </w:r>
          </w:p>
        </w:tc>
        <w:tc>
          <w:tcPr>
            <w:tcW w:w="852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</w:t>
            </w:r>
          </w:p>
        </w:tc>
      </w:tr>
      <w:tr>
        <w:tc>
          <w:tcPr>
            <w:tcW w:w="3920" w:type="dxa"/>
            <w:vMerge w:val="restart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Сгибание и разгибание рук в упоре лёжа, раз</w:t>
            </w:r>
          </w:p>
        </w:tc>
        <w:tc>
          <w:tcPr>
            <w:tcW w:w="104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77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24,3</w:t>
            </w:r>
          </w:p>
        </w:tc>
        <w:tc>
          <w:tcPr>
            <w:tcW w:w="91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26,1</w:t>
            </w:r>
          </w:p>
        </w:tc>
        <w:tc>
          <w:tcPr>
            <w:tcW w:w="119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1,8</w:t>
            </w:r>
          </w:p>
        </w:tc>
        <w:tc>
          <w:tcPr>
            <w:tcW w:w="64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1,42</w:t>
            </w:r>
          </w:p>
        </w:tc>
        <w:tc>
          <w:tcPr>
            <w:tcW w:w="85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 0,05</w:t>
            </w:r>
          </w:p>
        </w:tc>
      </w:tr>
      <w:tr>
        <w:tc>
          <w:tcPr>
            <w:tcW w:w="3920" w:type="dxa"/>
            <w:vMerge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/>
            </w:r>
          </w:p>
        </w:tc>
        <w:tc>
          <w:tcPr>
            <w:tcW w:w="104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77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24,1</w:t>
            </w:r>
          </w:p>
        </w:tc>
        <w:tc>
          <w:tcPr>
            <w:tcW w:w="91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31,7</w:t>
            </w:r>
          </w:p>
        </w:tc>
        <w:tc>
          <w:tcPr>
            <w:tcW w:w="119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7,6</w:t>
            </w:r>
          </w:p>
        </w:tc>
        <w:tc>
          <w:tcPr>
            <w:tcW w:w="64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3,42</w:t>
            </w:r>
          </w:p>
        </w:tc>
        <w:tc>
          <w:tcPr>
            <w:tcW w:w="85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0,05</w:t>
            </w:r>
          </w:p>
        </w:tc>
      </w:tr>
      <w:tr>
        <w:tc>
          <w:tcPr>
            <w:tcW w:w="3920" w:type="dxa"/>
            <w:vMerge w:val="restart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Прыжок в длину с места, см</w:t>
            </w:r>
          </w:p>
        </w:tc>
        <w:tc>
          <w:tcPr>
            <w:tcW w:w="104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77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218,4</w:t>
            </w:r>
          </w:p>
        </w:tc>
        <w:tc>
          <w:tcPr>
            <w:tcW w:w="91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221,0</w:t>
            </w:r>
          </w:p>
        </w:tc>
        <w:tc>
          <w:tcPr>
            <w:tcW w:w="119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2,6</w:t>
            </w:r>
          </w:p>
        </w:tc>
        <w:tc>
          <w:tcPr>
            <w:tcW w:w="64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1,18</w:t>
            </w:r>
          </w:p>
        </w:tc>
        <w:tc>
          <w:tcPr>
            <w:tcW w:w="85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 0,05</w:t>
            </w:r>
          </w:p>
        </w:tc>
      </w:tr>
      <w:tr>
        <w:tc>
          <w:tcPr>
            <w:tcW w:w="3920" w:type="dxa"/>
            <w:vMerge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/>
            </w:r>
          </w:p>
        </w:tc>
        <w:tc>
          <w:tcPr>
            <w:tcW w:w="1049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77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217,9</w:t>
            </w:r>
          </w:p>
        </w:tc>
        <w:tc>
          <w:tcPr>
            <w:tcW w:w="91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229,1</w:t>
            </w:r>
          </w:p>
        </w:tc>
        <w:tc>
          <w:tcPr>
            <w:tcW w:w="119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11,2</w:t>
            </w:r>
          </w:p>
        </w:tc>
        <w:tc>
          <w:tcPr>
            <w:tcW w:w="64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2,98</w:t>
            </w:r>
          </w:p>
        </w:tc>
        <w:tc>
          <w:tcPr>
            <w:tcW w:w="85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&lt; 0,05</w:t>
            </w:r>
          </w:p>
        </w:tc>
      </w:tr>
    </w:tbl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Примечание: КГ — контрольная группа, ЭГ — экспериментальная группа. Ширина столбцов в этой таблице подобрана по содержимому: название теста получает больше места, чем числовые столбцы.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Динамика показателей наглядно представлена на рисунке 2.</w:t>
      </w:r>
    </w:p>
    <w:p>
      <w:pPr>
        <w:spacing w:before="0" w:after="0" w:line="360" w:lineRule="auto"/>
        <w:ind w:firstLine="0"/>
        <w:jc w:val="left"/>
      </w:pPr>
    </w:p>
    <w:p>
      <w:pPr>
        <w:keepNext/>
        <w:keepLines/>
        <w:spacing w:before="0" w:after="0" w:line="240" w:lineRule="auto"/>
        <w:ind w:firstLine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712766"/>
            <wp:effectExtent l="0" t="0" r="0" b="0"/>
            <wp:docPr id="1009" name="Диаграмма 10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Fig2"/>
              </a:graphicData>
            </a:graphic>
          </wp:inline>
        </w:drawing>
      </w:r>
    </w:p>
    <w:p>
      <w:pPr>
        <w:keepLines/>
        <w:spacing w:before="0" w:after="0" w:line="360" w:lineRule="auto"/>
        <w:ind w:firstLine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 — Прирост показателей в контрольной и экспериментальной группах, %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left"/>
      </w:pPr>
    </w:p>
    <w:p>
      <w:pPr>
        <w:pStyle w:val="Heading2"/>
        <w:keepNext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3.2 Обсуждение результатов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Здесь результаты объясняются и сопоставляются с данными других авторов: совпали они или разошлись и почему [9; 10]. Именно в этом параграфе проверяется гипотеза — прямо и словами: подтвердилась она или нет.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 упражнений разработанной методики представлен в приложении В.</w:t>
      </w:r>
    </w:p>
    <w:p>
      <w:pPr>
        <w:spacing w:before="0" w:after="0" w:line="360" w:lineRule="auto"/>
        <w:ind w:firstLine="0"/>
        <w:jc w:val="left"/>
      </w:pPr>
    </w:p>
    <w:p>
      <w:pPr>
        <w:pStyle w:val="Heading2"/>
        <w:keepNext/>
        <w:spacing w:before="0" w:after="0" w:line="360" w:lineRule="auto"/>
        <w:ind w:firstLine="709"/>
        <w:jc w:val="left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3.3 Выводы по третьей главе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Выводы формулируются по задачам: сколько задач было поставлено во введении, столько выводов и получается. Каждый вывод опирается на конкретные цифры из таблиц этой главы.</w:t>
      </w:r>
    </w:p>
    <w:p>
      <w:pPr>
        <w:pStyle w:val="Heading1"/>
        <w:keepNext/>
        <w:pageBreakBefore/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ЗАКЛЮЧЕНИЕ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отвечает на цель и задачи, поставленные во введении. Это не пересказ работы и не выводы по главам заново, а ответ: что было нужно получить и что получилось.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анализ литературы показал, что вопрос изучен недостаточно в части ______________;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разработанная методика включает ______________ и рассчитана на ______ недель;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экспериментальная проверка подтвердила эффективность методики: прирост показателей в экспериментальной группе достоверно выше (p &lt; 0,05).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Практические рекомендации. Полученные результаты позволяют рекомендовать разработанную методику для применения в практике ______________.</w:t>
      </w:r>
    </w:p>
    <w:p>
      <w:pPr>
        <w:pStyle w:val="Heading1"/>
        <w:keepNext/>
        <w:pageBreakBefore/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СПИСОК ИСПОЛЬЗОВАННЫХ ИСТОЧНИКОВ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Источники расположены в порядке появления ссылок на них в тексте — этого требует ГОСТ 7.32-2017, пункт 6.16. Сами записи оформлены по ГОСТ Р 7.0.100-2018. Если методичка кафедры требует алфавитный порядок, список пересортировывается, а номера в тексте пересчитываются.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Иванов, И. И. Теория и методика физической культуры : учебник / И. И. Иванов. — Москва : Спорт, 2021. — 384 с. — ISBN 978-5-0000-0000-0.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Петров, П. П. Основы спортивной тренировки : учебное пособие / П. П. Петров, С. С. Сидорова. — 2-е изд., испр. и доп. — Санкт-Петербург : Лань, 2020. — 256 с.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Физиология спорта : учебник / А. А. Смирнов, Б. Б. Кузнецов, В. В. Морозова [и др.]. — Москва : Академия, 2022. — 412 с.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Сидоров, А. В. Влияние круговой тренировки на скоростно-силовые качества юных спортсменов / А. В. Сидоров // Теория и практика физической культуры. — 2023. — № 4. — С. 45–48.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Кузнецова, М. Н. Особенности подготовки студентов-спортсменов / М. Н. Кузнецова // Актуальные проблемы физической культуры : сборник научных трудов. — Москва : РГУФКСМиТ, 2022. — С. 112–118.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Николаев, Д. С. Совершенствование методики подготовки квалифицированных спортсменов : специальность 13.00.04 «Теория и методика физического воспитания, спортивной тренировки, оздоровительной и адаптивной физической культуры» : диссертация на соискание учёной степени кандидата педагогических наук / Николаев Дмитрий Сергеевич. — Москва, 2021. — 178 с.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Орлова, Е. В. Развитие выносливости у обучающихся : специальность 13.00.04 «Теория и методика физического воспитания, спортивной тренировки, оздоровительной и адаптивной физической культуры» : автореферат диссертации на соискание учёной степени кандидата педагогических наук / Орлова Елена Владимировна. — Санкт-Петербург, 2020. — 24 с.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ГОСТ Р 7.0.100–2018. Библиографическая запись. Библиографическое описание. Общие требования и правила составления : национальный стандарт Российской Федерации : издание официальное : утверждён и введён в действие Приказом Федерального агентства по техническому регулированию и метрологии от 3 декабря 2018 г. № 1050-ст : введён впервые : дата введения 2019-07-01 / разработан Информационным телеграфным агентством России (ИТАР-ТАСС). — Москва : Стандартинформ, 2018. — 124 с.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Российская Федерация. Законы. Об образовании в Российской Федерации : Федеральный закон № 273-ФЗ : [принят Государственной думой 21 декабря 2012 года : одобрен Советом Федерации 26 декабря 2012 года]. — Москва : Проспект, 2023. — 192 с. — Текст : непосредственный.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Васильев, К. Л. Методы статистической обработки данных в педагогических исследованиях / К. Л. Васильев. — Текст : электронный // StatBlank : [сайт]. — URL: https://statblank.com/calc (дата обращения: 15.05.2026).</w:t>
      </w:r>
    </w:p>
    <w:p>
      <w:pPr>
        <w:pStyle w:val="Heading1"/>
        <w:keepNext/>
        <w:pageBreakBefore/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ПРИЛОЖЕНИЕ А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(обязательное)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Протокол результатов тестирования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left"/>
      </w:pPr>
    </w:p>
    <w:p>
      <w:pPr>
        <w:keepNext/>
        <w:spacing w:before="0" w:after="0" w:line="360" w:lineRule="auto"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А.1 — Результаты тестирования участников исследования</w:t>
      </w:r>
    </w:p>
    <w:tbl>
      <w:tblPr>
        <w:tblW w:w="9355" w:type="dxa"/>
        <w:tblLayout w:type="fixed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764"/>
        <w:gridCol w:w="2274"/>
        <w:gridCol w:w="1058"/>
        <w:gridCol w:w="1206"/>
        <w:gridCol w:w="1642"/>
        <w:gridCol w:w="1256"/>
        <w:gridCol w:w="1155"/>
      </w:tblGrid>
      <w:tr>
        <w:trPr>
          <w:cantSplit/>
          <w:tblHeader/>
        </w:trPr>
        <w:tc>
          <w:tcPr>
            <w:tcW w:w="764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</w:t>
            </w:r>
          </w:p>
        </w:tc>
        <w:tc>
          <w:tcPr>
            <w:tcW w:w="2274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Фамилия И. О.</w:t>
            </w:r>
          </w:p>
        </w:tc>
        <w:tc>
          <w:tcPr>
            <w:tcW w:w="1058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Группа</w:t>
            </w:r>
          </w:p>
        </w:tc>
        <w:tc>
          <w:tcPr>
            <w:tcW w:w="1206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Возраст, лет</w:t>
            </w:r>
          </w:p>
        </w:tc>
        <w:tc>
          <w:tcPr>
            <w:tcW w:w="1642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Отжимания, раз</w:t>
            </w:r>
          </w:p>
        </w:tc>
        <w:tc>
          <w:tcPr>
            <w:tcW w:w="1256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Прыжок, см</w:t>
            </w:r>
          </w:p>
        </w:tc>
        <w:tc>
          <w:tcPr>
            <w:tcW w:w="1155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Наклон, см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И. И.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205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 П. П.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212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Сидоров С. С.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219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 К. К.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226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 С. М.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233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Попов П. О.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Васильев В. В.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217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 С. К.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224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Михайлов М. М.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231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 Н. Н.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208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Фёдоров Ф. Ф.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215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Морозов М. О.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222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Волков В. Л.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229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 А. А.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206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Лебедев Л. Е.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213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Семёнов С. Е.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220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Егоров Е. Г.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227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 П. А.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234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 К. О.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211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Степанов С. Т.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218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 Н. И.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Орлов О. Р.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232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Андреев А. Н.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209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Макаров М. А.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216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Н. К.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223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Захаров З. А.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230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 З. Й.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207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Соловьёв С. Л.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214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Борисов Б. О.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221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Яковлев Я. К.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228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9,0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Григорьев Г. Р.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205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11,5</w:t>
            </w:r>
          </w:p>
        </w:tc>
      </w:tr>
      <w:tr>
        <w:tc>
          <w:tcPr>
            <w:tcW w:w="76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32</w:t>
            </w:r>
          </w:p>
        </w:tc>
        <w:tc>
          <w:tcPr>
            <w:tcW w:w="2274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Романов Р. О.</w:t>
            </w:r>
          </w:p>
        </w:tc>
        <w:tc>
          <w:tcPr>
            <w:tcW w:w="1058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ЭГ</w:t>
            </w:r>
          </w:p>
        </w:tc>
        <w:tc>
          <w:tcPr>
            <w:tcW w:w="120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</w:t>
            </w:r>
          </w:p>
        </w:tc>
        <w:tc>
          <w:tcPr>
            <w:tcW w:w="164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</w:t>
            </w:r>
          </w:p>
        </w:tc>
        <w:tc>
          <w:tcPr>
            <w:tcW w:w="1256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212</w:t>
            </w:r>
          </w:p>
        </w:tc>
        <w:tc>
          <w:tcPr>
            <w:tcW w:w="1155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13,0</w:t>
            </w:r>
          </w:p>
        </w:tc>
      </w:tr>
    </w:tbl>
    <w:p>
      <w:pPr>
        <w:spacing w:before="0" w:after="0" w:line="360" w:lineRule="auto"/>
        <w:ind w:firstLine="0"/>
        <w:jc w:val="left"/>
      </w:pPr>
    </w:p>
    <w:p>
      <w:pPr>
        <w:pStyle w:val="Heading1"/>
        <w:keepNext/>
        <w:pageBreakBefore/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ПРИЛОЖЕНИЕ Б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(справочное)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Бланк методики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Сюда вставляется бланк использованной методики: инструкция для испытуемого и текст пунктов. Если методика защищена авторским правом, вместо полного текста даётся ссылка на источник, откуда она взята.</w:t>
      </w:r>
    </w:p>
    <w:p>
      <w:pPr>
        <w:pStyle w:val="Heading1"/>
        <w:keepNext/>
        <w:pageBreakBefore/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ПРИЛОЖЕНИЕ В</w:t>
      </w:r>
    </w:p>
    <w:p>
      <w:pPr>
        <w:keepNext/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(обязательное)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Комплекс упражнений разработанной методики</w:t>
      </w:r>
    </w:p>
    <w:p>
      <w:pPr>
        <w:spacing w:before="0" w:after="0" w:line="360" w:lineRule="auto"/>
        <w:ind w:firstLine="0"/>
        <w:jc w:val="left"/>
      </w:pPr>
    </w:p>
    <w:p>
      <w:pPr>
        <w:spacing w:before="0" w:after="0" w:line="360" w:lineRule="auto"/>
        <w:ind w:firstLine="0"/>
        <w:jc w:val="left"/>
      </w:pPr>
    </w:p>
    <w:p>
      <w:pPr>
        <w:keepNext/>
        <w:spacing w:before="0" w:after="0" w:line="360" w:lineRule="auto"/>
        <w:ind w:firstLine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В.1 — Содержание комплекса по этапам</w:t>
      </w:r>
    </w:p>
    <w:tbl>
      <w:tblPr>
        <w:tblW w:w="9355" w:type="dxa"/>
        <w:tblLayout w:type="fixed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2233"/>
        <w:gridCol w:w="2892"/>
        <w:gridCol w:w="1687"/>
        <w:gridCol w:w="2543"/>
      </w:tblGrid>
      <w:tr>
        <w:trPr>
          <w:cantSplit/>
          <w:tblHeader/>
        </w:trPr>
        <w:tc>
          <w:tcPr>
            <w:tcW w:w="2233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Этап</w:t>
            </w:r>
          </w:p>
        </w:tc>
        <w:tc>
          <w:tcPr>
            <w:tcW w:w="2892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Упражнение</w:t>
            </w:r>
          </w:p>
        </w:tc>
        <w:tc>
          <w:tcPr>
            <w:tcW w:w="1687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Дозировка</w:t>
            </w:r>
          </w:p>
        </w:tc>
        <w:tc>
          <w:tcPr>
            <w:tcW w:w="2543" w:type="dxa"/>
            <w:vAlign w:val="center"/>
          </w:tcPr>
          <w:p>
            <w:pPr>
              <w:spacing w:before="0" w:after="0" w:line="240" w:lineRule="auto"/>
              <w:ind w:firstLine="0" w:left="0" w:right="0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Методические указания</w:t>
            </w:r>
          </w:p>
        </w:tc>
      </w:tr>
      <w:tr>
        <w:tc>
          <w:tcPr>
            <w:tcW w:w="2233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Подготовительный</w:t>
            </w:r>
          </w:p>
        </w:tc>
        <w:tc>
          <w:tcPr>
            <w:tcW w:w="289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Общеразвивающие упражнения на месте</w:t>
            </w:r>
          </w:p>
        </w:tc>
        <w:tc>
          <w:tcPr>
            <w:tcW w:w="1687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8–10 мин</w:t>
            </w:r>
          </w:p>
        </w:tc>
        <w:tc>
          <w:tcPr>
            <w:tcW w:w="2543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Темп средний, дыхание не задерживать</w:t>
            </w:r>
          </w:p>
        </w:tc>
      </w:tr>
      <w:tr>
        <w:tc>
          <w:tcPr>
            <w:tcW w:w="2233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Основной</w:t>
            </w:r>
          </w:p>
        </w:tc>
        <w:tc>
          <w:tcPr>
            <w:tcW w:w="289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Сгибание и разгибание рук в упоре лёжа</w:t>
            </w:r>
          </w:p>
        </w:tc>
        <w:tc>
          <w:tcPr>
            <w:tcW w:w="1687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подхода по 12–15 раз</w:t>
            </w:r>
          </w:p>
        </w:tc>
        <w:tc>
          <w:tcPr>
            <w:tcW w:w="2543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Отдых между подходами 60 с, корпус прямой</w:t>
            </w:r>
          </w:p>
        </w:tc>
      </w:tr>
      <w:tr>
        <w:tc>
          <w:tcPr>
            <w:tcW w:w="2233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Заключительный</w:t>
            </w:r>
          </w:p>
        </w:tc>
        <w:tc>
          <w:tcPr>
            <w:tcW w:w="2892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на растягивание и восстановление дыхания</w:t>
            </w:r>
          </w:p>
        </w:tc>
        <w:tc>
          <w:tcPr>
            <w:tcW w:w="1687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5–7 мин</w:t>
            </w:r>
          </w:p>
        </w:tc>
        <w:tc>
          <w:tcPr>
            <w:tcW w:w="2543" w:type="dxa"/>
            <w:vAlign w:val="top"/>
          </w:tcPr>
          <w:p>
            <w:pPr>
              <w:spacing w:before="0" w:after="0" w:line="240" w:lineRule="auto"/>
              <w:ind w:firstLine="0" w:left="0" w:right="0"/>
              <w:jc w:val="lef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Удержание позы 20–30 с, без рывков</w:t>
            </w:r>
          </w:p>
        </w:tc>
      </w:tr>
    </w:tbl>
    <w:p>
      <w:pPr>
        <w:spacing w:before="0" w:after="0" w:line="360" w:lineRule="auto"/>
        <w:ind w:firstLine="0"/>
        <w:jc w:val="left"/>
      </w:pPr>
    </w:p>
    <w:sectPr>
      <w:footerReference w:type="first" r:id="rIdFooterFirst"/>
      <w:footerReference w:type="default" r:id="rIdFooterDefault"/>
      <w:pgSz w:w="11906" w:h="16838"/>
      <w:pgMar w:top="1134" w:right="850" w:bottom="1134" w:left="1701" w:header="709" w:footer="709" w:gutter="0"/>
      <w:pgNumType w:start="1"/>
      <w:titlePg/>
    </w:sectPr>
  </w:body>
</w:document>
</file>

<file path=word/footer1.xml><?xml version="1.0" encoding="utf-8"?>
<w:ftr xmlns:w="http://schemas.openxmlformats.org/wordprocessingml/2006/main">
  <w:p>
    <w:pPr>
      <w:spacing w:before="0" w:after="0" w:line="240" w:lineRule="auto"/>
      <w:ind w:firstLine="0" w:left="0" w:right="0"/>
    </w:pPr>
  </w:p>
</w:ftr>
</file>

<file path=word/footer2.xml><?xml version="1.0" encoding="utf-8"?>
<w:ftr xmlns:w="http://schemas.openxmlformats.org/wordprocessingml/2006/main" xmlns:r="http://schemas.openxmlformats.org/officeDocument/2006/relationships">
  <w:p>
    <w:pPr>
      <w:spacing w:before="0" w:after="0" w:line="240" w:lineRule="auto"/>
      <w:ind w:firstLine="0" w:left="0" w:right="0"/>
      <w:jc w:val="center"/>
    </w:pPr>
    <w:r>
      <w:rPr>
        <w:rFonts w:ascii="Times New Roman" w:hAnsi="Times New Roman" w:cs="Times New Roman" w:eastAsia="Times New Roman"/>
        <w:sz w:val="28"/>
        <w:szCs w:val="28"/>
      </w:rPr>
      <w:fldChar w:fldCharType="begin"/>
    </w:r>
    <w:r>
      <w:rPr>
        <w:rFonts w:ascii="Times New Roman" w:hAnsi="Times New Roman" w:cs="Times New Roman" w:eastAsia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 w:eastAsia="Times New Roman"/>
        <w:sz w:val="28"/>
        <w:szCs w:val="28"/>
      </w:rPr>
      <w:fldChar w:fldCharType="separate"/>
    </w:r>
    <w:r>
      <w:rPr>
        <w:rFonts w:ascii="Times New Roman" w:hAnsi="Times New Roman" w:cs="Times New Roman" w:eastAsia="Times New Roman"/>
        <w:sz w:val="28"/>
        <w:szCs w:val="28"/>
      </w:rPr>
      <w:t>1</w:t>
    </w:r>
    <w:r>
      <w:rPr>
        <w:rFonts w:ascii="Times New Roman" w:hAnsi="Times New Roman" w:cs="Times New Roman" w:eastAsia="Times New Roman"/>
        <w:sz w:val="28"/>
        <w:szCs w:val="28"/>
      </w:rPr>
      <w:fldChar w:fldCharType="end"/>
    </w:r>
  </w:p>
</w:ft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decimal"/>
      <w:lvlText w:val="%1."/>
      <w:suff w:val="space"/>
      <w:lvlJc w:val="left"/>
      <w:pPr>
        <w:ind w:left="0" w:firstLine="709"/>
      </w:pPr>
    </w:lvl>
  </w:abstractNum>
  <w:abstractNum w:abstractNumId="1">
    <w:multiLevelType w:val="singleLevel"/>
    <w:lvl w:ilvl="0">
      <w:start w:val="1"/>
      <w:numFmt w:val="bullet"/>
      <w:lvlText w:val="–"/>
      <w:suff w:val="space"/>
      <w:lvlJc w:val="left"/>
      <w:pPr>
        <w:ind w:left="0" w:firstLine="70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haracterSpacingControl w:val="doNotCompress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8"/>
        <w:szCs w:val="28"/>
        <w:color w:val="000000"/>
        <w:lang w:val="ru-RU" w:eastAsia="ru-RU" w:bidi="ar-SA"/>
      </w:rPr>
    </w:rPrDefault>
    <w:pPrDefault>
      <w:pPr>
        <w:spacing w:before="0" w:after="0" w:line="360" w:lineRule="auto"/>
      </w:pPr>
    </w:pPrDefault>
  </w:docDefaults>
  <w:style w:type="paragraph" w:default="1" w:styleId="Normal">
    <w:name w:val="Normal"/>
    <w:qFormat/>
    <w:pPr>
      <w:spacing w:before="0" w:after="0" w:line="360" w:lineRule="auto"/>
      <w:ind w:firstLine="709" w:left="0" w:right="0"/>
      <w:jc w:val="both"/>
    </w:pPr>
    <w:rPr>
      <w:rFonts w:ascii="Times New Roman" w:hAnsi="Times New Roman" w:cs="Times New Roman" w:eastAsia="Times New Roman"/>
      <w:sz w:val="28"/>
      <w:szCs w:val="28"/>
      <w:color w:val="000000"/>
      <w:lang w:val="ru-RU" w:eastAsia="ru-RU" w:bidi="ar-SA"/>
    </w:rPr>
  </w:style>
  <w:style w:type="paragraph" w:styleId="Heading1">
    <w:name w:val="heading 1"/>
    <w:basedOn w:val="Normal"/>
    <w:next w:val="Normal"/>
    <w:qFormat/>
    <w:uiPriority w:val="1"/>
    <w:pPr>
      <w:keepNext/>
      <w:keepLines/>
      <w:spacing w:before="0" w:after="0" w:line="360" w:lineRule="auto"/>
      <w:jc w:val="center"/>
      <w:ind w:firstLine="0" w:left="0" w:right="0"/>
      <w:outlineLvl w:val="0"/>
    </w:pPr>
    <w:rPr>
      <w:rFonts w:ascii="Times New Roman" w:hAnsi="Times New Roman" w:cs="Times New Roman" w:eastAsia="Times New Roman"/>
      <w:b/>
      <w:bCs/>
      <w:sz w:val="28"/>
      <w:szCs w:val="28"/>
      <w:color w:val="000000"/>
    </w:rPr>
  </w:style>
  <w:style w:type="paragraph" w:styleId="Heading2">
    <w:name w:val="heading 2"/>
    <w:basedOn w:val="Normal"/>
    <w:next w:val="Normal"/>
    <w:qFormat/>
    <w:uiPriority w:val="2"/>
    <w:pPr>
      <w:keepNext/>
      <w:keepLines/>
      <w:spacing w:before="0" w:after="0" w:line="360" w:lineRule="auto"/>
      <w:jc w:val="center"/>
      <w:ind w:firstLine="0" w:left="0" w:right="0"/>
      <w:outlineLvl w:val="1"/>
    </w:pPr>
    <w:rPr>
      <w:rFonts w:ascii="Times New Roman" w:hAnsi="Times New Roman" w:cs="Times New Roman" w:eastAsia="Times New Roman"/>
      <w:b/>
      <w:bCs/>
      <w:sz w:val="28"/>
      <w:szCs w:val="28"/>
      <w:color w:val="000000"/>
    </w:rPr>
  </w:style>
  <w:style w:type="paragraph" w:styleId="Heading3">
    <w:name w:val="heading 3"/>
    <w:basedOn w:val="Normal"/>
    <w:next w:val="Normal"/>
    <w:qFormat/>
    <w:uiPriority w:val="3"/>
    <w:pPr>
      <w:keepNext/>
      <w:keepLines/>
      <w:spacing w:before="0" w:after="0" w:line="360" w:lineRule="auto"/>
      <w:jc w:val="center"/>
      <w:ind w:firstLine="0" w:left="0" w:right="0"/>
      <w:outlineLvl w:val="2"/>
    </w:pPr>
    <w:rPr>
      <w:rFonts w:ascii="Times New Roman" w:hAnsi="Times New Roman" w:cs="Times New Roman" w:eastAsia="Times New Roman"/>
      <w:b/>
      <w:bCs/>
      <w:sz w:val="28"/>
      <w:szCs w:val="28"/>
      <w:color w:val="000000"/>
    </w:rPr>
  </w:style>
  <w:style w:type="paragraph" w:styleId="TOC1">
    <w:name w:val="toc 1"/>
    <w:basedOn w:val="Normal"/>
    <w:next w:val="Normal"/>
    <w:uiPriority w:val="39"/>
    <w:pPr>
      <w:tabs>
        <w:tab w:val="right" w:leader="dot" w:pos="9355"/>
      </w:tabs>
      <w:spacing w:before="0" w:after="0" w:line="360" w:lineRule="auto"/>
      <w:ind w:left="0" w:firstLine="0"/>
      <w:jc w:val="left"/>
    </w:pPr>
  </w:style>
  <w:style w:type="paragraph" w:styleId="TOC2">
    <w:name w:val="toc 2"/>
    <w:basedOn w:val="Normal"/>
    <w:next w:val="Normal"/>
    <w:uiPriority w:val="39"/>
    <w:pPr>
      <w:tabs>
        <w:tab w:val="right" w:leader="dot" w:pos="9355"/>
      </w:tabs>
      <w:spacing w:before="0" w:after="0" w:line="360" w:lineRule="auto"/>
      <w:ind w:left="220" w:firstLine="0"/>
      <w:jc w:val="left"/>
    </w:pPr>
  </w:style>
  <w:style w:type="paragraph" w:styleId="TOC3">
    <w:name w:val="toc 3"/>
    <w:basedOn w:val="Normal"/>
    <w:next w:val="Normal"/>
    <w:uiPriority w:val="39"/>
    <w:pPr>
      <w:tabs>
        <w:tab w:val="right" w:leader="dot" w:pos="9355"/>
      </w:tabs>
      <w:spacing w:before="0" w:after="0" w:line="360" w:lineRule="auto"/>
      <w:ind w:left="440" w:firstLine="0"/>
      <w:jc w:val="left"/>
    </w:pPr>
  </w:style>
  <w:style w:type="character" w:styleId="Hyperlink">
    <w:name w:val="Hyperlink"/>
    <w:uiPriority w:val="99"/>
    <w:rPr>
      <w:color w:val="000000"/>
      <w:u w:val="none"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before="0"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Fig2" Type="http://schemas.openxmlformats.org/officeDocument/2006/relationships/chart" Target="charts/chart1.xml"/><Relationship Id="rIdFooterFirst" Type="http://schemas.openxmlformats.org/officeDocument/2006/relationships/footer" Target="footer1.xml"/><Relationship Id="rIdFooterDefault" Type="http://schemas.openxmlformats.org/officeDocument/2006/relationships/footer" Target="footer2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numbering" Target="numbering.xml"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char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rgbClr val="4472C4"/>
            </a:solidFill>
          </c:spPr>
          <c:dLbls>
            <c:spPr>
              <a:noFill/>
              <a:ln>
                <a:noFill/>
              </a:ln>
            </c:spPr>
            <c:txPr>
              <a:bodyPr/>
              <a:lstStyle/>
              <a:p>
                <a:pPr>
                  <a:defRPr sz="1200" b="0">
                    <a:latin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LegendKey val="0"/>
            <c:numFmt formatCode="0&quot; %&quot;" sourceLinked="0"/>
            <c:showVal val="1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Отжимания</c:v>
                </c:pt>
                <c:pt idx="1">
                  <c:v>Прыжок в длину</c:v>
                </c:pt>
                <c:pt idx="2">
                  <c:v>Наклон вперёд</c:v>
                </c:pt>
                <c:pt idx="3">
                  <c:v>Бег 100 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7.4</c:v>
                </c:pt>
                <c:pt idx="1">
                  <c:v>1.2</c:v>
                </c:pt>
                <c:pt idx="2">
                  <c:v>4.1</c:v>
                </c:pt>
                <c:pt idx="3">
                  <c:v>1.8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rgbClr val="ED7D31"/>
            </a:solidFill>
          </c:spPr>
          <c:dLbls>
            <c:spPr>
              <a:noFill/>
              <a:ln>
                <a:noFill/>
              </a:ln>
            </c:spPr>
            <c:txPr>
              <a:bodyPr/>
              <a:lstStyle/>
              <a:p>
                <a:pPr>
                  <a:defRPr sz="1200" b="0">
                    <a:latin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LegendKey val="0"/>
            <c:numFmt formatCode="0&quot; %&quot;" sourceLinked="0"/>
            <c:showVal val="1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Отжимания</c:v>
                </c:pt>
                <c:pt idx="1">
                  <c:v>Прыжок в длину</c:v>
                </c:pt>
                <c:pt idx="2">
                  <c:v>Наклон вперёд</c:v>
                </c:pt>
                <c:pt idx="3">
                  <c:v>Бег 100 м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31.5</c:v>
                </c:pt>
                <c:pt idx="1">
                  <c:v>5.1</c:v>
                </c:pt>
                <c:pt idx="2">
                  <c:v>18.6</c:v>
                </c:pt>
                <c:pt idx="3">
                  <c:v>5.4</c:v>
                </c:pt>
              </c:numCache>
            </c:numRef>
          </c:val>
        </c:ser>
        <c:gapWidth val="150"/>
        <c:axId val="111111111"/>
        <c:axId val="222222222"/>
      </c:barChart>
      <c:catAx>
        <c:axId val="11111111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0">
                <a:latin typeface="Times New Roman"/>
                <a:cs typeface="Times New Roman"/>
              </a:defRPr>
            </a:pPr>
            <a:endParaRPr lang="ru-RU"/>
          </a:p>
        </c:txPr>
        <c:crossAx val="222222222"/>
        <c:crosses val="autoZero"/>
        <c:auto val="1"/>
        <c:lblAlgn val="ctr"/>
        <c:lblOffset val="100"/>
        <c:noMultiLvlLbl val="0"/>
      </c:catAx>
      <c:valAx>
        <c:axId val="22222222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200" b="0">
                    <a:latin typeface="Times New Roman"/>
                    <a:cs typeface="Times New Roman"/>
                  </a:defRPr>
                </a:pPr>
                <a:r>
                  <a:rPr lang="ru-RU" sz="1200" b="0">
                    <a:latin typeface="Times New Roman"/>
                    <a:cs typeface="Times New Roman"/>
                  </a:rPr>
                  <a:t>Прирост, %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0">
                <a:latin typeface="Times New Roman"/>
                <a:cs typeface="Times New Roman"/>
              </a:defRPr>
            </a:pPr>
            <a:endParaRPr lang="ru-RU"/>
          </a:p>
        </c:txPr>
        <c:crossAx val="111111111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200" b="0">
              <a:latin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txPr>
    <a:bodyPr/>
    <a:lstStyle/>
    <a:p>
      <a:pPr>
        <a:defRPr sz="1200" b="0">
          <a:latin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docProps/app.xml><?xml version="1.0" encoding="utf-8"?>
<Properties xmlns="http://schemas.openxmlformats.org/officeDocument/2006/extended-properties" xmlns:vt="http://schemas.openxmlformats.org/officeDocument/2006/docPropsVTypes">
  <Application>lazarev-docx</Application>
  <DocSecurity>0</DocSecurity>
  <ScaleCrop>false</ScaleCrop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оформления работы по ГОСТ 7.32-2017</dc:title>
  <dc:creator>StatBlank</dc:creator>
  <cp:lastModifiedBy>StatBlank</cp:lastModifiedBy>
  <cp:revision>1</cp:revision>
  <dcterms:created xsi:type="dcterms:W3CDTF">2026-01-01T00:00:00Z</dcterms:created>
  <dcterms:modified xsi:type="dcterms:W3CDTF">2026-01-01T00:00:00Z</dcterms:modified>
</cp:coreProperties>
</file>